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1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1</w:t>
      </w:r>
    </w:p>
    <w:p>
      <w:pPr>
        <w:widowControl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color w:val="FF0000"/>
          <w:sz w:val="44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7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32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32"/>
        </w:rPr>
        <w:t>202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32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32"/>
        </w:rPr>
        <w:t>年度德阳市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32"/>
          <w:lang w:eastAsia="zh-CN"/>
        </w:rPr>
        <w:t>高新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32"/>
        </w:rPr>
        <w:t>领域重点研发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7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32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32"/>
        </w:rPr>
        <w:t>指导类项目申报指南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firstLine="480"/>
        <w:textAlignment w:val="auto"/>
        <w:rPr>
          <w:rFonts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firstLine="640"/>
        <w:textAlignment w:val="auto"/>
        <w:outlineLvl w:val="2"/>
        <w:rPr>
          <w:rFonts w:hint="default" w:ascii="Times New Roman" w:hAnsi="Times New Roman" w:eastAsia="黑体" w:cs="Times New Roman"/>
          <w:color w:val="auto"/>
          <w:szCs w:val="32"/>
        </w:rPr>
      </w:pPr>
      <w:r>
        <w:rPr>
          <w:rFonts w:hint="default" w:ascii="Times New Roman" w:hAnsi="Times New Roman" w:eastAsia="黑体" w:cs="Times New Roman"/>
          <w:color w:val="auto"/>
          <w:szCs w:val="32"/>
        </w:rPr>
        <w:t>一、绩效目标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突破关键技术1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—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2项，新申请项目相关的知识产权（含发明专利、实用新型专利、软件著作权等）2项以上；形成新产品或示范应用不少于1个；项目执行期内累计实现销售收入400万元以上（高校、科研院所单独申报除外）。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firstLine="640"/>
        <w:textAlignment w:val="auto"/>
        <w:outlineLvl w:val="2"/>
        <w:rPr>
          <w:rFonts w:hint="default" w:ascii="Times New Roman" w:hAnsi="Times New Roman" w:eastAsia="黑体" w:cs="Times New Roman"/>
          <w:color w:val="auto"/>
          <w:szCs w:val="32"/>
        </w:rPr>
      </w:pPr>
      <w:r>
        <w:rPr>
          <w:rFonts w:hint="eastAsia" w:ascii="Times New Roman" w:hAnsi="Times New Roman" w:eastAsia="黑体" w:cs="Times New Roman"/>
          <w:color w:val="auto"/>
          <w:szCs w:val="32"/>
        </w:rPr>
        <w:t>二</w:t>
      </w:r>
      <w:r>
        <w:rPr>
          <w:rFonts w:hint="default" w:ascii="Times New Roman" w:hAnsi="Times New Roman" w:eastAsia="黑体" w:cs="Times New Roman"/>
          <w:color w:val="auto"/>
          <w:szCs w:val="32"/>
        </w:rPr>
        <w:t>、实施周期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项目实施周期为2年，时间自立项文件下达之日起计算。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firstLine="640"/>
        <w:textAlignment w:val="auto"/>
        <w:outlineLvl w:val="2"/>
        <w:rPr>
          <w:rFonts w:hint="default" w:ascii="Times New Roman" w:hAnsi="Times New Roman" w:eastAsia="黑体" w:cs="Times New Roman"/>
          <w:color w:val="auto"/>
          <w:szCs w:val="32"/>
        </w:rPr>
      </w:pPr>
      <w:r>
        <w:rPr>
          <w:rFonts w:hint="eastAsia" w:ascii="Times New Roman" w:hAnsi="Times New Roman" w:eastAsia="黑体" w:cs="Times New Roman"/>
          <w:color w:val="auto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Cs w:val="32"/>
        </w:rPr>
        <w:t>、支持重点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lang w:eastAsia="zh-CN"/>
        </w:rPr>
        <w:t>机械装备</w:t>
      </w: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航空零部件、轨道交通等高端装备研发和制造，数控机床、工业机器人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eastAsia="zh-CN"/>
        </w:rPr>
        <w:t>开发及应用，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智能零部件组件制造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eastAsia="zh-CN"/>
        </w:rPr>
        <w:t>技术、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新型农机装备整机制造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eastAsia="zh-CN"/>
        </w:rPr>
        <w:t>及应用、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无人机等通用航空器研发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eastAsia="zh-CN"/>
        </w:rPr>
        <w:t>与应用、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航空航天复合材料及制备技术等领域的研究与开发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eastAsia="zh-CN"/>
        </w:rPr>
        <w:t>等。高端能源装备、先进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冶金装备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eastAsia="zh-CN"/>
        </w:rPr>
        <w:t>等重大技术装备领域关键技术与产品，包括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能源开发端的油气装备、环保端的工业节能装备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风电等可再生能源装备、非常规油气开采装备、储能装备、氢能装备以及智慧能源装备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eastAsia="zh-CN"/>
        </w:rPr>
        <w:t>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lang w:eastAsia="zh-CN"/>
        </w:rPr>
        <w:t>材料化工</w:t>
      </w: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以锂电池正极材料、负极材料、隔膜材料和电解液等锂电材料为主的新型能源材料，新型化工材料、电子新材料、高性能纤维、高性能树脂、金属材料、石墨烯材料、可降解材料、3D打印材料、高端膜材料等关键技术研究及应用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lang w:eastAsia="zh-CN"/>
        </w:rPr>
        <w:t>食品饮料</w:t>
      </w: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白酒酿造、生物饲料等生物农业领域及新型发酵技术、多肽保健食品研发，肉制品杀菌灭毒、副产物综合利用等关键技术，饮用水包装材料及设备研发、植物蛋白饮料等饮料研发和烟草领域技术创新等</w:t>
      </w:r>
      <w:r>
        <w:rPr>
          <w:rFonts w:hint="eastAsia" w:ascii="Times New Roman" w:hAnsi="Times New Roman" w:cs="Times New Roman"/>
          <w:bCs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数字经济。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特色电子元器件、智能家居、智能手机等终端产品的核心技术，智能制造、智能传感、服务器、数字能源等相关关键技术，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工业互联网、工业软件、大数据、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区块链、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信息安全、元宇宙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firstLine="640"/>
        <w:textAlignment w:val="auto"/>
        <w:outlineLvl w:val="2"/>
        <w:rPr>
          <w:rFonts w:hint="eastAsia" w:ascii="Times New Roman" w:hAnsi="Times New Roman" w:eastAsia="黑体" w:cs="Times New Roman"/>
          <w:color w:val="auto"/>
          <w:szCs w:val="32"/>
        </w:rPr>
      </w:pPr>
      <w:r>
        <w:rPr>
          <w:rFonts w:hint="eastAsia" w:ascii="Times New Roman" w:hAnsi="Times New Roman" w:eastAsia="黑体" w:cs="Times New Roman"/>
          <w:color w:val="auto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Cs w:val="32"/>
        </w:rPr>
        <w:t>、申报单位在线提交材料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（1）德阳市高新技术产业发展重点研发项目申报书。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（2）企业资质证明材料（企业营业执照，高新技术企业编号、科技型中小企业入库编号、工程技术研究中心、重点实验室等认定文件）。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（3）近两年内获取的技术创新成果支撑材料。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（4）企业近两年财务报表。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（5）其他相关证明材料。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1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lang w:eastAsia="zh-CN" w:bidi="ar"/>
        </w:rPr>
        <w:br w:type="page"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2</w:t>
      </w:r>
    </w:p>
    <w:p>
      <w:pPr>
        <w:widowControl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color w:val="FF0000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32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32"/>
        </w:rPr>
        <w:t>202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32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32"/>
        </w:rPr>
        <w:t>年度德阳市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32"/>
          <w:lang w:eastAsia="zh-CN"/>
        </w:rPr>
        <w:t>农业农村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32"/>
        </w:rPr>
        <w:t>领域重点研发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32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32"/>
        </w:rPr>
        <w:t>指导类项目申报指南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ascii="Times New Roman" w:hAnsi="Times New Roman" w:cs="Times New Roma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农业农村领域重点研发项目以实施创新驱动发展战略，推进农业农村科技创新，助力脱贫攻坚与乡村振兴有效衔接为目标，</w:t>
      </w:r>
      <w:r>
        <w:rPr>
          <w:rFonts w:hint="eastAsia" w:ascii="Times New Roman" w:hAnsi="Times New Roman" w:cs="Times New Roman"/>
          <w:lang w:val="en-US" w:eastAsia="zh-CN"/>
        </w:rPr>
        <w:t>重点支持我市农村科技特派员团队依托当地产业，围绕农村科技创新、促进农业产业升级和乡村振兴等领域的技术创新需求，开展科技研发与推广应用工作。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firstLine="640"/>
        <w:textAlignment w:val="auto"/>
        <w:outlineLvl w:val="2"/>
        <w:rPr>
          <w:rFonts w:hint="default" w:ascii="Times New Roman" w:hAnsi="Times New Roman" w:eastAsia="黑体" w:cs="Times New Roman"/>
          <w:color w:val="auto"/>
          <w:szCs w:val="32"/>
        </w:rPr>
      </w:pPr>
      <w:r>
        <w:rPr>
          <w:rFonts w:hint="eastAsia" w:ascii="Times New Roman" w:hAnsi="Times New Roman" w:eastAsia="黑体" w:cs="Times New Roman"/>
          <w:color w:val="auto"/>
          <w:szCs w:val="32"/>
        </w:rPr>
        <w:t>一、</w:t>
      </w:r>
      <w:r>
        <w:rPr>
          <w:rFonts w:hint="default" w:ascii="Times New Roman" w:hAnsi="Times New Roman" w:eastAsia="黑体" w:cs="Times New Roman"/>
          <w:color w:val="auto"/>
          <w:szCs w:val="32"/>
        </w:rPr>
        <w:t>绩效目标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textAlignment w:val="auto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ascii="Times New Roman" w:hAnsi="Times New Roman" w:cs="Times New Roman"/>
        </w:rPr>
        <w:t>研发新品种、新技术、新产品、新工艺、新装备、新模式2个（项）以上；建立科技示范点、示范基地、示范生产线1个（条）以上；开展集中性科技培训、现场观摩会3次以上，培训产业技术骨干10名以及科技示范户、专业大户、新型农民100人次以上；建成各类创新平台1个以上</w:t>
      </w:r>
      <w:r>
        <w:rPr>
          <w:rFonts w:hint="eastAsia" w:ascii="Times New Roman" w:hAnsi="Times New Roman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firstLine="640"/>
        <w:textAlignment w:val="auto"/>
        <w:outlineLvl w:val="2"/>
        <w:rPr>
          <w:rFonts w:hint="default" w:ascii="Times New Roman" w:hAnsi="Times New Roman" w:eastAsia="黑体" w:cs="Times New Roman"/>
          <w:color w:val="auto"/>
          <w:szCs w:val="32"/>
        </w:rPr>
      </w:pPr>
      <w:r>
        <w:rPr>
          <w:rFonts w:hint="eastAsia" w:ascii="Times New Roman" w:hAnsi="Times New Roman" w:eastAsia="黑体" w:cs="Times New Roman"/>
          <w:color w:val="auto"/>
          <w:szCs w:val="32"/>
        </w:rPr>
        <w:t>二</w:t>
      </w:r>
      <w:r>
        <w:rPr>
          <w:rFonts w:hint="default" w:ascii="Times New Roman" w:hAnsi="Times New Roman" w:eastAsia="黑体" w:cs="Times New Roman"/>
          <w:color w:val="auto"/>
          <w:szCs w:val="32"/>
        </w:rPr>
        <w:t>、实施周期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项目实施周期为2年，时间自立项文件下达之日起计算。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firstLine="640"/>
        <w:textAlignment w:val="auto"/>
        <w:outlineLvl w:val="2"/>
        <w:rPr>
          <w:rFonts w:hint="eastAsia" w:ascii="Times New Roman" w:hAnsi="Times New Roman" w:eastAsia="黑体" w:cs="Times New Roman"/>
          <w:color w:val="auto"/>
          <w:szCs w:val="32"/>
        </w:rPr>
      </w:pPr>
      <w:r>
        <w:rPr>
          <w:rFonts w:hint="eastAsia" w:ascii="Times New Roman" w:hAnsi="Times New Roman" w:eastAsia="黑体" w:cs="Times New Roman"/>
          <w:color w:val="auto"/>
          <w:szCs w:val="32"/>
          <w:lang w:eastAsia="zh-CN"/>
        </w:rPr>
        <w:t>三</w:t>
      </w:r>
      <w:r>
        <w:rPr>
          <w:rFonts w:hint="eastAsia" w:ascii="Times New Roman" w:hAnsi="Times New Roman" w:eastAsia="黑体" w:cs="Times New Roman"/>
          <w:color w:val="auto"/>
          <w:szCs w:val="32"/>
        </w:rPr>
        <w:t>、支持方向及重点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楷体" w:cs="Times New Roman"/>
          <w:b/>
          <w:color w:val="auto"/>
        </w:rPr>
      </w:pPr>
      <w:r>
        <w:rPr>
          <w:rFonts w:hint="eastAsia" w:ascii="Times New Roman" w:hAnsi="Times New Roman" w:eastAsia="仿宋_GB2312"/>
          <w:szCs w:val="32"/>
          <w:lang w:eastAsia="zh-CN"/>
        </w:rPr>
        <w:t>重点</w:t>
      </w:r>
      <w:r>
        <w:rPr>
          <w:rFonts w:ascii="Times New Roman" w:hAnsi="Times New Roman" w:eastAsia="仿宋_GB2312"/>
          <w:szCs w:val="32"/>
        </w:rPr>
        <w:t>围绕县域产业发展需求，支持各</w:t>
      </w:r>
      <w:r>
        <w:rPr>
          <w:rFonts w:hint="eastAsia" w:ascii="Times New Roman" w:hAnsi="Times New Roman" w:eastAsia="仿宋_GB2312"/>
          <w:szCs w:val="32"/>
          <w:lang w:eastAsia="zh-CN"/>
        </w:rPr>
        <w:t>区</w:t>
      </w:r>
      <w:r>
        <w:rPr>
          <w:rFonts w:ascii="Times New Roman" w:hAnsi="Times New Roman" w:eastAsia="仿宋_GB2312"/>
          <w:szCs w:val="32"/>
        </w:rPr>
        <w:t>（市、</w:t>
      </w:r>
      <w:r>
        <w:rPr>
          <w:rFonts w:hint="eastAsia" w:ascii="Times New Roman" w:hAnsi="Times New Roman" w:eastAsia="仿宋_GB2312"/>
          <w:szCs w:val="32"/>
          <w:lang w:eastAsia="zh-CN"/>
        </w:rPr>
        <w:t>县</w:t>
      </w:r>
      <w:r>
        <w:rPr>
          <w:rFonts w:ascii="Times New Roman" w:hAnsi="Times New Roman" w:eastAsia="仿宋_GB2312"/>
          <w:szCs w:val="32"/>
        </w:rPr>
        <w:t>）依托当地星创天地、专家大院、产业技术服务中心等平台，联合省、市科技特派员，开展技术咨询、现场指导、技术培训、创业培训等技术服务，推动先进适用技术和成果转化应用；创办、领办农民专业合作社、专业技术协会及企业等，指导、带动农民就业创业，依靠科技进步增强贫困地区脱贫发展的内生动力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eastAsia" w:ascii="Times New Roman" w:hAnsi="Times New Roman" w:eastAsia="楷体" w:cs="Times New Roman"/>
          <w:b w:val="0"/>
          <w:bCs/>
          <w:color w:val="auto"/>
        </w:rPr>
        <w:t>（一）</w:t>
      </w:r>
      <w:r>
        <w:rPr>
          <w:rFonts w:hint="default" w:ascii="Times New Roman" w:hAnsi="Times New Roman" w:cs="Times New Roman"/>
          <w:color w:val="auto"/>
        </w:rPr>
        <w:t>支持针对我市农业主导产业和特色产业的优良品种选育工作，特别是具有自主知识产权的新品种</w:t>
      </w:r>
      <w:r>
        <w:rPr>
          <w:rFonts w:hint="eastAsia" w:ascii="Times New Roman" w:hAnsi="Times New Roman" w:cs="Times New Roman"/>
          <w:color w:val="auto"/>
          <w:lang w:eastAsia="zh-CN"/>
        </w:rPr>
        <w:t>；</w:t>
      </w:r>
      <w:r>
        <w:rPr>
          <w:rFonts w:hint="default" w:ascii="Times New Roman" w:hAnsi="Times New Roman" w:cs="Times New Roman"/>
          <w:color w:val="auto"/>
        </w:rPr>
        <w:t>鼓励开展种子繁育技术创新，包括高效繁育技术、种子质量控制技术、种子加工与储存技术等</w:t>
      </w:r>
      <w:r>
        <w:rPr>
          <w:rFonts w:hint="eastAsia" w:ascii="Times New Roman" w:hAnsi="Times New Roman" w:cs="Times New Roman"/>
          <w:color w:val="auto"/>
          <w:lang w:eastAsia="zh-CN"/>
        </w:rPr>
        <w:t>；</w:t>
      </w:r>
      <w:r>
        <w:rPr>
          <w:rFonts w:hint="default" w:ascii="Times New Roman" w:hAnsi="Times New Roman" w:cs="Times New Roman"/>
          <w:color w:val="auto"/>
        </w:rPr>
        <w:t>支持种业产业链上下游企业合作，推动种业产学研一体化发展，提升我市种业整体竞争力。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eastAsia" w:ascii="Times New Roman" w:hAnsi="Times New Roman" w:eastAsia="楷体" w:cs="Times New Roman"/>
          <w:b w:val="0"/>
          <w:bCs/>
          <w:color w:val="auto"/>
          <w:lang w:eastAsia="zh-CN"/>
        </w:rPr>
        <w:t>（二）</w:t>
      </w:r>
      <w:r>
        <w:rPr>
          <w:rFonts w:hint="default" w:ascii="Times New Roman" w:hAnsi="Times New Roman" w:cs="Times New Roman"/>
          <w:color w:val="auto"/>
        </w:rPr>
        <w:t>支持建设集农业物联网、大数据、云计算、人工智能等先进技术于一体的智慧农业示范基地</w:t>
      </w:r>
      <w:r>
        <w:rPr>
          <w:rFonts w:hint="eastAsia" w:ascii="Times New Roman" w:hAnsi="Times New Roman" w:cs="Times New Roman"/>
          <w:color w:val="auto"/>
          <w:lang w:eastAsia="zh-CN"/>
        </w:rPr>
        <w:t>；</w:t>
      </w:r>
      <w:r>
        <w:rPr>
          <w:rFonts w:hint="default" w:ascii="Times New Roman" w:hAnsi="Times New Roman" w:cs="Times New Roman"/>
          <w:color w:val="auto"/>
        </w:rPr>
        <w:t>鼓励基地开展精准种植、智能养殖、智能农机等农业智能化技术应用的示范与推广</w:t>
      </w:r>
      <w:r>
        <w:rPr>
          <w:rFonts w:hint="eastAsia" w:ascii="Times New Roman" w:hAnsi="Times New Roman" w:cs="Times New Roman"/>
          <w:color w:val="auto"/>
          <w:lang w:eastAsia="zh-CN"/>
        </w:rPr>
        <w:t>；</w:t>
      </w:r>
      <w:r>
        <w:rPr>
          <w:rFonts w:hint="default" w:ascii="Times New Roman" w:hAnsi="Times New Roman" w:cs="Times New Roman"/>
          <w:color w:val="auto"/>
        </w:rPr>
        <w:t>支持设施农业领域的新技术、新装备的研发与应用，如智能温室、无土栽培、节水灌溉等</w:t>
      </w:r>
      <w:r>
        <w:rPr>
          <w:rFonts w:hint="eastAsia" w:ascii="Times New Roman" w:hAnsi="Times New Roman" w:cs="Times New Roman"/>
          <w:color w:val="auto"/>
          <w:lang w:eastAsia="zh-CN"/>
        </w:rPr>
        <w:t>；</w:t>
      </w:r>
      <w:r>
        <w:rPr>
          <w:rFonts w:hint="default" w:ascii="Times New Roman" w:hAnsi="Times New Roman" w:cs="Times New Roman"/>
          <w:color w:val="auto"/>
        </w:rPr>
        <w:t>鼓励开展设施农业新模式的示范与推广，如循环农业、立体种植、休闲观光农业等。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（</w:t>
      </w:r>
      <w:r>
        <w:rPr>
          <w:rFonts w:hint="eastAsia" w:ascii="Times New Roman" w:hAnsi="Times New Roman" w:cs="Times New Roman"/>
          <w:color w:val="auto"/>
          <w:lang w:eastAsia="zh-CN"/>
        </w:rPr>
        <w:t>三</w:t>
      </w:r>
      <w:r>
        <w:rPr>
          <w:rFonts w:hint="eastAsia" w:ascii="Times New Roman" w:hAnsi="Times New Roman" w:cs="Times New Roman"/>
          <w:color w:val="auto"/>
        </w:rPr>
        <w:t>）</w:t>
      </w:r>
      <w:r>
        <w:rPr>
          <w:rFonts w:hint="eastAsia" w:ascii="Times New Roman" w:hAnsi="Times New Roman" w:cs="Times New Roman"/>
          <w:color w:val="auto"/>
          <w:lang w:eastAsia="zh-CN"/>
        </w:rPr>
        <w:t>支持</w:t>
      </w:r>
      <w:r>
        <w:rPr>
          <w:rFonts w:hint="default" w:ascii="Times New Roman" w:hAnsi="Times New Roman" w:cs="Times New Roman"/>
          <w:color w:val="auto"/>
        </w:rPr>
        <w:t>具有自主知识产权、适应我市农业生产需求的先进农机装备，特别是针对丘陵地区的特色农机</w:t>
      </w:r>
      <w:r>
        <w:rPr>
          <w:rFonts w:hint="eastAsia" w:ascii="Times New Roman" w:hAnsi="Times New Roman" w:cs="Times New Roman"/>
          <w:color w:val="auto"/>
          <w:lang w:eastAsia="zh-CN"/>
        </w:rPr>
        <w:t>；</w:t>
      </w:r>
      <w:r>
        <w:rPr>
          <w:rFonts w:hint="default" w:ascii="Times New Roman" w:hAnsi="Times New Roman" w:cs="Times New Roman"/>
          <w:color w:val="auto"/>
        </w:rPr>
        <w:t>鼓励对现有农机装备进行技术升级和智能化改造，提高农机作业效率和质量</w:t>
      </w:r>
      <w:r>
        <w:rPr>
          <w:rFonts w:hint="eastAsia" w:ascii="Times New Roman" w:hAnsi="Times New Roman" w:cs="Times New Roman"/>
          <w:color w:val="auto"/>
          <w:lang w:eastAsia="zh-CN"/>
        </w:rPr>
        <w:t>；</w:t>
      </w:r>
      <w:r>
        <w:rPr>
          <w:rFonts w:hint="default" w:ascii="Times New Roman" w:hAnsi="Times New Roman" w:cs="Times New Roman"/>
          <w:color w:val="auto"/>
        </w:rPr>
        <w:t>支持试制新型小型农业机械机具，满足丘陵地区精细化、轻简化作业需求</w:t>
      </w:r>
      <w:r>
        <w:rPr>
          <w:rFonts w:hint="eastAsia" w:ascii="Times New Roman" w:hAnsi="Times New Roman" w:cs="Times New Roman"/>
          <w:color w:val="auto"/>
          <w:lang w:eastAsia="zh-CN"/>
        </w:rPr>
        <w:t>；</w:t>
      </w:r>
      <w:r>
        <w:rPr>
          <w:rFonts w:hint="default" w:ascii="Times New Roman" w:hAnsi="Times New Roman" w:cs="Times New Roman"/>
          <w:color w:val="auto"/>
        </w:rPr>
        <w:t>鼓励在丘陵地区建立农机应用示范片，通过现场示范、技术培训等方式，推动新型小型农业机械机具的广泛应用。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/>
        <w:textAlignment w:val="auto"/>
        <w:rPr>
          <w:rFonts w:hint="eastAsia" w:ascii="Times New Roman" w:hAnsi="Times New Roman" w:eastAsia="仿宋_GB2312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eastAsia="zh-CN"/>
        </w:rPr>
        <w:t>（四）支持我市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地方特色农副产品，围绕粮油、果蔬、水产、茶叶、川酒等新产品、新工艺、新技术、新装备的推广应用及产业化，提升农业产业竞争力、促进农民增收、推动农村经济高质量发展。</w:t>
      </w:r>
    </w:p>
    <w:p>
      <w:pPr>
        <w:pStyle w:val="9"/>
        <w:ind w:right="0" w:firstLine="0"/>
        <w:outlineLvl w:val="1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lang w:eastAsia="zh-CN" w:bidi="ar"/>
        </w:rPr>
        <w:br w:type="page"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3</w:t>
      </w:r>
    </w:p>
    <w:p>
      <w:pPr>
        <w:widowControl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32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32"/>
        </w:rPr>
        <w:t>202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32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32"/>
        </w:rPr>
        <w:t>年度德阳市社会发展领域重点研发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32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32"/>
        </w:rPr>
        <w:t>指导类项目申报指南</w:t>
      </w:r>
    </w:p>
    <w:p>
      <w:pPr>
        <w:pStyle w:val="6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为深入实施科技创新引领行动，提升我市</w:t>
      </w:r>
      <w:r>
        <w:rPr>
          <w:rStyle w:val="11"/>
          <w:rFonts w:hint="default" w:ascii="Times New Roman" w:hAnsi="Times New Roman" w:cs="Times New Roman"/>
          <w:color w:val="auto"/>
        </w:rPr>
        <w:t>社会发展领域</w:t>
      </w:r>
      <w:r>
        <w:rPr>
          <w:rFonts w:hint="default" w:ascii="Times New Roman" w:hAnsi="Times New Roman" w:cs="Times New Roman"/>
          <w:color w:val="auto"/>
        </w:rPr>
        <w:t>科技创新和自主创新能力，充分激发创新创造活力，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鼓励加大研发投入、完善创新体系</w:t>
      </w:r>
      <w:r>
        <w:rPr>
          <w:rStyle w:val="11"/>
          <w:rFonts w:hint="default" w:ascii="Times New Roman" w:hAnsi="Times New Roman" w:cs="Times New Roman"/>
          <w:color w:val="auto"/>
        </w:rPr>
        <w:t>，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以科技赋能</w:t>
      </w:r>
      <w:r>
        <w:rPr>
          <w:rFonts w:hint="default" w:ascii="Times New Roman" w:hAnsi="Times New Roman" w:cs="Times New Roman"/>
          <w:color w:val="auto"/>
          <w:szCs w:val="32"/>
          <w:lang w:eastAsia="zh-CN"/>
        </w:rPr>
        <w:t>推动我市社会经济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高质量发展</w:t>
      </w:r>
      <w:r>
        <w:rPr>
          <w:rFonts w:hint="default" w:ascii="Times New Roman" w:hAnsi="Times New Roman" w:cs="Times New Roman"/>
          <w:color w:val="auto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firstLine="640"/>
        <w:textAlignment w:val="auto"/>
        <w:outlineLvl w:val="2"/>
        <w:rPr>
          <w:rFonts w:hint="default" w:ascii="Times New Roman" w:hAnsi="Times New Roman" w:eastAsia="黑体" w:cs="Times New Roman"/>
          <w:color w:val="auto"/>
          <w:szCs w:val="32"/>
        </w:rPr>
      </w:pPr>
      <w:r>
        <w:rPr>
          <w:rFonts w:hint="default" w:ascii="Times New Roman" w:hAnsi="Times New Roman" w:eastAsia="黑体" w:cs="Times New Roman"/>
          <w:color w:val="auto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zCs w:val="32"/>
        </w:rPr>
        <w:t>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围绕我市在社会发展领域的重点产业和创新产业，开展关键核心技术攻关和产品研发，力争突破在医卫健康、生态环保、食品、安全、文化旅游等领域开展关键技术攻关60项以上，公开发表论文60篇以上，申请专利15项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firstLine="640"/>
        <w:textAlignment w:val="auto"/>
        <w:outlineLvl w:val="2"/>
        <w:rPr>
          <w:rFonts w:hint="default" w:ascii="Times New Roman" w:hAnsi="Times New Roman" w:eastAsia="黑体" w:cs="Times New Roman"/>
          <w:color w:val="auto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Cs w:val="32"/>
          <w:lang w:eastAsia="zh-CN"/>
        </w:rPr>
        <w:t>二、实施周期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项目实施周期为2年，时间自立项文件下达之日起计算。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firstLine="640"/>
        <w:textAlignment w:val="auto"/>
        <w:outlineLvl w:val="2"/>
        <w:rPr>
          <w:rFonts w:hint="default" w:ascii="Times New Roman" w:hAnsi="Times New Roman" w:eastAsia="黑体" w:cs="Times New Roman"/>
          <w:color w:val="auto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Cs w:val="32"/>
          <w:lang w:eastAsia="zh-CN"/>
        </w:rPr>
        <w:t>三、申报数量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遵循择优申报原则，三级甲等医院每个单位限额申报12项；三级乙等医院每个单位限额申报6项；二级甲等医院每个单位限额申报2项；其他基层医院每个单位限额申报1项；国家级示范性高等职业院校每个单位限额申报10项；其他高职院校每个单位限额申报5项；其他公益事业单位每个限额申报5项；省重点实验室各限额申报2项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各医疗机构有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省市临床医学研究中心、省市重点实验室的各限额申报2项；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各医疗机构在上一年度承接药物、医疗器械注册类临床试验项目超过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0项以上的，限额申报2项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firstLine="640"/>
        <w:textAlignment w:val="auto"/>
        <w:outlineLvl w:val="2"/>
        <w:rPr>
          <w:rFonts w:hint="default" w:ascii="Times New Roman" w:hAnsi="Times New Roman" w:eastAsia="黑体" w:cs="Times New Roman"/>
          <w:color w:val="auto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Cs w:val="32"/>
          <w:lang w:eastAsia="zh-CN"/>
        </w:rPr>
        <w:t>四、支持方向与重点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color w:val="auto"/>
          <w:kern w:val="2"/>
          <w:sz w:val="32"/>
          <w:szCs w:val="32"/>
          <w:lang w:val="en-US" w:eastAsia="zh-CN" w:bidi="ar-SA"/>
        </w:rPr>
        <w:t>（一）支持医疗卫生领域关键技术研究与推广。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重点支持艾滋病、结核病等传染性疾病防控及防治疫苗、诊断试剂、治疗药品、生物医药研发；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药物临床标准化研究；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支持癌症疾病防治研究，创新药物、仿制药物、医院制剂研究开发，中药制药工艺关键技术研究；药物筛选、新型诊断技术与设备、重大医疗临床技术提升、中医药研发及应用；地方病、职业病、皮肤病防治研究；突发公共卫生事件应急处置技术研究与管理研究；智慧医疗、智慧养老、适老化及残疾人服务领域关键共性技术和产品研发，医养结合服务平台建设；全民健身、运动医学、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妇女儿童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健康与保护关键技术研究；基层卫生适宜技术推广示范研究。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color w:val="auto"/>
          <w:kern w:val="2"/>
          <w:sz w:val="32"/>
          <w:szCs w:val="32"/>
          <w:lang w:val="en-US" w:eastAsia="zh-CN" w:bidi="ar-SA"/>
        </w:rPr>
        <w:t>（二）支持大安全领域关键技术研究与推广。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重点支持开展食品安全溯源、贮运、生产、检验检测技术研发与装备研制，食品安全预警、风险评估技术及标准化研究与应用；预制菜及调味品加工、包装、仓储、冷链等技术与装备研制；白酒酿造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微生物和白酒生产机理、自动化、智能化酿酒装备研发应用、信息化应用、绿色生态制造等关键技术研究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；开展水旱、气象、地震、地质灾害、森林草原火灾等领域防灾减灾关键技术及设备研发；开展社会安全治安防控、智慧消防建设、毒品查缉及戒毒、应急反恐等领域公共安全技术研究、装备开发和应用；开展各生产领域安全预防、风险评估、应急救援、应急管理等安全生产技术研究、装备开发及应用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Times New Roman" w:hAnsi="Times New Roman" w:eastAsia="楷体" w:cs="Times New Roman"/>
          <w:b/>
          <w:color w:val="auto"/>
          <w:kern w:val="2"/>
          <w:sz w:val="32"/>
          <w:szCs w:val="32"/>
          <w:lang w:val="en-US" w:eastAsia="zh-CN" w:bidi="ar-SA"/>
        </w:rPr>
        <w:t>（三）支持环境保护与资源综合利用关键技术研究与推广。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重点支持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污染、大气污染、土壤污染等防治技术，战略性、紧缺性矿产资源勘查、开采和综合利用，以及废气、废水、固废和危废减量化、无害化、资源化利用等方面关键技术研究、装备研发与应用示范；气候变化技术创新、环境监测、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" w:eastAsia="zh-CN" w:bidi="ar-SA"/>
        </w:rPr>
        <w:t>耕地保护、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生活垃圾、节能减排降碳、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" w:eastAsia="zh-CN" w:bidi="ar-SA"/>
        </w:rPr>
        <w:t>节约用水、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生物多样性与生态安全保护等关键技术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研究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；绿色低碳建筑新材料、绿色新能源等关键技术研究；塑化剂降解技术、废旧塑料分类高质回收再利用和热熔再生技术研究；生态修复、耕地保护等技术研究；传统内燃机高效节能减排、柴油车尾气治理与装备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研制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等技术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研发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Times New Roman" w:hAnsi="Times New Roman" w:eastAsia="楷体" w:cs="Times New Roman"/>
          <w:b/>
          <w:color w:val="auto"/>
          <w:kern w:val="2"/>
          <w:sz w:val="32"/>
          <w:szCs w:val="32"/>
          <w:lang w:val="en-US" w:eastAsia="zh-CN" w:bidi="ar-SA"/>
        </w:rPr>
        <w:t>（四）支持文化和科技融合发展。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支持开展考古与文化遗产保护技术、装备研究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"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支持红色文化、巴蜀文化、非遗文化等数字化研究与应用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"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开展文化场馆、旅游景区等公共智慧服务平台技术研究，支持VR/AR/MR/XR等虚拟沉浸式技术在文化旅游领域应用研究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"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支持文化与科技融合，创新开发特色文旅产品。</w:t>
      </w:r>
    </w:p>
    <w:p>
      <w:pPr>
        <w:pStyle w:val="10"/>
        <w:ind w:firstLine="64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</w:pPr>
    </w:p>
    <w:p>
      <w:pPr>
        <w:widowControl/>
        <w:snapToGrid w:val="0"/>
        <w:spacing w:line="600" w:lineRule="exact"/>
        <w:rPr>
          <w:rFonts w:hint="default" w:ascii="Times New Roman" w:hAnsi="Times New Roman" w:eastAsia="仿宋" w:cs="Times New Roman"/>
          <w:bCs/>
          <w:color w:val="auto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1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lang w:eastAsia="zh-CN" w:bidi="ar"/>
        </w:rPr>
        <w:br w:type="page"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4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研发费用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被纳入国家统计调查对象单位名单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四川省农业科学院水稻高粱研究所（四川省农业科学院德阳分院）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四川省第九地质大队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四川省德阳生态环境监测中心站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德阳市科技信息研究所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德阳市教育科学研究所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四川工程职业技术大学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四川建筑职业技术学院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四川司法警官职业学院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四川工业科技学院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民办四川天一学院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德阳市人民医院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中江县人民医院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什邡市人民医院</w:t>
      </w:r>
    </w:p>
    <w:p>
      <w:pPr>
        <w:outlineLvl w:val="1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u w:val="none"/>
          <w:lang w:val="en-US" w:eastAsia="zh-CN" w:bidi="ar-SA"/>
        </w:rPr>
        <w:br w:type="page"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u w:val="none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u w:val="none"/>
          <w:lang w:val="en-US" w:eastAsia="zh-CN" w:bidi="ar-SA"/>
        </w:rPr>
        <w:t>5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2022—2023年度研发费用增长情况说明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sz w:val="32"/>
          <w:szCs w:val="32"/>
          <w:lang w:val="en-US" w:eastAsia="zh-CN"/>
        </w:rPr>
        <w:t>（模版）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（单位名称）2022年研发费用为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万元，2023年研发费用为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万元，增长率为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%。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附件：（国家统计调查表研发费用相关页面）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单位名称（公章）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 </w:t>
      </w:r>
    </w:p>
    <w:p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2024年  月  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F5F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6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7"/>
    <w:pPr>
      <w:widowControl w:val="0"/>
      <w:suppressAutoHyphens/>
      <w:bidi w:val="0"/>
      <w:jc w:val="both"/>
    </w:pPr>
    <w:rPr>
      <w:rFonts w:ascii="Times New Roman" w:hAnsi="Times New Roman" w:eastAsia="宋体" w:cs="Times New Roman"/>
      <w:color w:val="auto"/>
      <w:kern w:val="2"/>
      <w:sz w:val="32"/>
      <w:szCs w:val="20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960"/>
      </w:tabs>
      <w:ind w:firstLine="420"/>
    </w:pPr>
    <w:rPr>
      <w:rFonts w:ascii="Times New Roman" w:eastAsia="宋体"/>
    </w:rPr>
  </w:style>
  <w:style w:type="paragraph" w:styleId="3">
    <w:name w:val="Body Text Indent"/>
    <w:basedOn w:val="1"/>
    <w:qFormat/>
    <w:uiPriority w:val="0"/>
    <w:pPr>
      <w:ind w:firstLine="640"/>
    </w:pPr>
    <w:rPr>
      <w:rFonts w:ascii="仿宋_GB2312"/>
      <w:szCs w:val="20"/>
    </w:rPr>
  </w:style>
  <w:style w:type="paragraph" w:styleId="4">
    <w:name w:val="Body Text"/>
    <w:basedOn w:val="1"/>
    <w:next w:val="5"/>
    <w:qFormat/>
    <w:uiPriority w:val="6"/>
    <w:pPr>
      <w:spacing w:before="0" w:after="120"/>
    </w:pPr>
  </w:style>
  <w:style w:type="paragraph" w:customStyle="1" w:styleId="5">
    <w:name w:val="Default"/>
    <w:basedOn w:val="1"/>
    <w:qFormat/>
    <w:uiPriority w:val="6"/>
    <w:pPr>
      <w:autoSpaceDE w:val="0"/>
      <w:jc w:val="left"/>
    </w:pPr>
    <w:rPr>
      <w:rFonts w:ascii="仿宋_GB2312" w:hAnsi="仿宋_GB2312" w:eastAsia="仿宋_GB2312" w:cs="Calibri"/>
      <w:color w:val="000000"/>
      <w:kern w:val="0"/>
      <w:sz w:val="24"/>
      <w:szCs w:val="24"/>
    </w:rPr>
  </w:style>
  <w:style w:type="paragraph" w:styleId="6">
    <w:name w:val="Body Text First Indent"/>
    <w:basedOn w:val="4"/>
    <w:unhideWhenUsed/>
    <w:qFormat/>
    <w:uiPriority w:val="0"/>
    <w:pPr>
      <w:ind w:firstLine="420" w:firstLineChars="100"/>
    </w:pPr>
  </w:style>
  <w:style w:type="paragraph" w:customStyle="1" w:styleId="9">
    <w:name w:val="正文首行缩进1"/>
    <w:basedOn w:val="4"/>
    <w:qFormat/>
    <w:uiPriority w:val="2457"/>
    <w:pPr>
      <w:ind w:left="0" w:right="0" w:firstLine="420"/>
    </w:pPr>
  </w:style>
  <w:style w:type="paragraph" w:customStyle="1" w:styleId="10">
    <w:name w:val="正文-公文"/>
    <w:qFormat/>
    <w:uiPriority w:val="2"/>
    <w:pPr>
      <w:widowControl w:val="0"/>
      <w:suppressAutoHyphens/>
      <w:bidi w:val="0"/>
      <w:spacing w:line="560" w:lineRule="exact"/>
      <w:ind w:left="0" w:right="0" w:firstLine="200"/>
      <w:jc w:val="both"/>
    </w:pPr>
    <w:rPr>
      <w:rFonts w:ascii="仿宋_GB2312" w:hAnsi="仿宋_GB2312" w:eastAsia="仿宋_GB2312" w:cs="仿宋_GB2312"/>
      <w:color w:val="auto"/>
      <w:kern w:val="2"/>
      <w:sz w:val="32"/>
      <w:szCs w:val="32"/>
      <w:lang w:val="en-US" w:eastAsia="zh-CN" w:bidi="ar-SA"/>
    </w:rPr>
  </w:style>
  <w:style w:type="character" w:customStyle="1" w:styleId="11">
    <w:name w:val="正文-公文 字符"/>
    <w:basedOn w:val="12"/>
    <w:qFormat/>
    <w:uiPriority w:val="2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customStyle="1" w:styleId="12">
    <w:name w:val="默认段落字体1"/>
    <w:qFormat/>
    <w:uiPriority w:val="1723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user</cp:lastModifiedBy>
  <dcterms:modified xsi:type="dcterms:W3CDTF">2024-04-29T18:44:33Z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